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49CCD5" w14:textId="21C8F919" w:rsidR="008709AD" w:rsidRPr="00FD0D4E" w:rsidRDefault="008709AD" w:rsidP="00915E87">
      <w:pPr>
        <w:pStyle w:val="NOTADEPRENSA"/>
      </w:pPr>
      <w:r w:rsidRPr="00FD0D4E">
        <w:t>Nota de prensa</w:t>
      </w:r>
    </w:p>
    <w:p w14:paraId="7843C93D" w14:textId="37EBF1F8" w:rsidR="008709AD" w:rsidRDefault="00915E87" w:rsidP="008709AD">
      <w:pPr>
        <w:pStyle w:val="NOTADEPRENSA"/>
      </w:pPr>
      <w:r>
        <w:t>16/03/2021</w:t>
      </w:r>
    </w:p>
    <w:p w14:paraId="274254DC" w14:textId="36BE36AB" w:rsidR="008709AD" w:rsidRDefault="008709AD" w:rsidP="008709AD">
      <w:pPr>
        <w:pStyle w:val="NOTADEPRENSA"/>
      </w:pPr>
    </w:p>
    <w:p w14:paraId="6C115CC5" w14:textId="77777777" w:rsidR="008709AD" w:rsidRPr="00D251A8" w:rsidRDefault="008709AD" w:rsidP="008709AD">
      <w:pPr>
        <w:autoSpaceDE w:val="0"/>
        <w:autoSpaceDN w:val="0"/>
        <w:adjustRightInd w:val="0"/>
        <w:ind w:left="284"/>
        <w:jc w:val="center"/>
        <w:rPr>
          <w:rFonts w:ascii="Arial" w:hAnsi="Arial" w:cs="Arial"/>
          <w:b/>
          <w:sz w:val="18"/>
          <w:szCs w:val="18"/>
          <w:lang w:val="es-ES"/>
        </w:rPr>
      </w:pPr>
    </w:p>
    <w:p w14:paraId="7120E900" w14:textId="718B9A0D" w:rsidR="008709AD" w:rsidRPr="00FD0D4E" w:rsidRDefault="00873CC5" w:rsidP="008709AD">
      <w:pPr>
        <w:pStyle w:val="TITULAR"/>
      </w:pPr>
      <w:r>
        <w:t>E</w:t>
      </w:r>
      <w:r w:rsidR="006D1D52">
        <w:t>l</w:t>
      </w:r>
      <w:r w:rsidR="00623387">
        <w:t xml:space="preserve"> Gobierno de Aragón </w:t>
      </w:r>
      <w:r w:rsidR="006D1D52">
        <w:t xml:space="preserve">discrimina </w:t>
      </w:r>
      <w:r>
        <w:t xml:space="preserve">una vez más </w:t>
      </w:r>
      <w:r w:rsidR="00D47484">
        <w:t xml:space="preserve">a las empresas del </w:t>
      </w:r>
      <w:bookmarkStart w:id="0" w:name="_GoBack"/>
      <w:bookmarkEnd w:id="0"/>
      <w:r w:rsidR="006D1D52">
        <w:t>sector</w:t>
      </w:r>
      <w:r>
        <w:t xml:space="preserve"> de servicios sociales</w:t>
      </w:r>
    </w:p>
    <w:p w14:paraId="16979386" w14:textId="77777777" w:rsidR="008709AD" w:rsidRPr="00FD0D4E" w:rsidRDefault="008709AD" w:rsidP="008709AD">
      <w:pPr>
        <w:pStyle w:val="TITULAR"/>
        <w:rPr>
          <w:sz w:val="22"/>
          <w:szCs w:val="22"/>
        </w:rPr>
      </w:pPr>
    </w:p>
    <w:p w14:paraId="50032C28" w14:textId="3D16EA93" w:rsidR="008709AD" w:rsidRDefault="00172BAF" w:rsidP="001971B9">
      <w:pPr>
        <w:pStyle w:val="SUBTITULO"/>
        <w:numPr>
          <w:ilvl w:val="0"/>
          <w:numId w:val="3"/>
        </w:numPr>
      </w:pPr>
      <w:r>
        <w:t>La</w:t>
      </w:r>
      <w:r w:rsidRPr="00172BAF">
        <w:t xml:space="preserve"> Asociación Aragonesa para la Dependencia</w:t>
      </w:r>
      <w:r w:rsidR="00623387">
        <w:t xml:space="preserve"> y la Asociación de centros de Asistencia y Servicios Sociales de Aragón, con el apoyo de CEPYME Aragón,</w:t>
      </w:r>
      <w:r>
        <w:t xml:space="preserve"> critica</w:t>
      </w:r>
      <w:r w:rsidR="00623387">
        <w:t>n</w:t>
      </w:r>
      <w:r>
        <w:t xml:space="preserve"> que el Departamento de Ciudadanía no </w:t>
      </w:r>
      <w:r w:rsidR="0010293D">
        <w:t>respeta a las empresas del sector</w:t>
      </w:r>
    </w:p>
    <w:p w14:paraId="363A0DC0" w14:textId="44A51C4B" w:rsidR="0010293D" w:rsidRPr="001971B9" w:rsidRDefault="0010293D" w:rsidP="001971B9">
      <w:pPr>
        <w:pStyle w:val="SUBTITULO"/>
        <w:numPr>
          <w:ilvl w:val="0"/>
          <w:numId w:val="3"/>
        </w:numPr>
      </w:pPr>
      <w:r>
        <w:t xml:space="preserve">La Orden que regula la acción concertada de servicios sociales </w:t>
      </w:r>
      <w:r w:rsidR="00623387">
        <w:t xml:space="preserve">publicada ayer en el BOA </w:t>
      </w:r>
      <w:r>
        <w:t>deja fuera a las empresas privadas mercantiles</w:t>
      </w:r>
    </w:p>
    <w:p w14:paraId="24C1E861" w14:textId="77777777" w:rsidR="008709AD" w:rsidRPr="00172BAF" w:rsidRDefault="008709AD" w:rsidP="008709AD">
      <w:pPr>
        <w:pStyle w:val="TITULAR"/>
        <w:rPr>
          <w:sz w:val="22"/>
          <w:szCs w:val="22"/>
        </w:rPr>
      </w:pPr>
    </w:p>
    <w:p w14:paraId="05C7D01A" w14:textId="64CB1F36" w:rsidR="00915E87" w:rsidRDefault="00915E87" w:rsidP="009207F3">
      <w:pPr>
        <w:pStyle w:val="TEXTONOTADEPRENSA"/>
        <w:pBdr>
          <w:bottom w:val="single" w:sz="6" w:space="1" w:color="auto"/>
        </w:pBdr>
      </w:pPr>
      <w:r>
        <w:t xml:space="preserve">Tras la publicación en el BOA de ayer de la Orden </w:t>
      </w:r>
      <w:r w:rsidRPr="00915E87">
        <w:t>que regula la acción concertada en materia de prestación de servicios sociales</w:t>
      </w:r>
      <w:r>
        <w:t xml:space="preserve"> en Aragón, la Asociación </w:t>
      </w:r>
      <w:r w:rsidRPr="00915E87">
        <w:t>Aragonesa para la Dependencia</w:t>
      </w:r>
      <w:r>
        <w:t>, ARADE,</w:t>
      </w:r>
      <w:r w:rsidR="00623387">
        <w:t xml:space="preserve"> y la Asociación de centros de Asistencia y Servicios Sociales de Aragón, ACASSA, con el apoyo de CEPYME Aragón</w:t>
      </w:r>
      <w:r>
        <w:t xml:space="preserve"> quiere</w:t>
      </w:r>
      <w:r w:rsidR="00623387">
        <w:t>n</w:t>
      </w:r>
      <w:r>
        <w:t xml:space="preserve"> denunciar el agravio </w:t>
      </w:r>
      <w:r w:rsidR="009207F3">
        <w:t>y discriminación que supone para las empresas del sector y alerta de que podría ser la estocada definitiva para algunas de ellas.</w:t>
      </w:r>
    </w:p>
    <w:p w14:paraId="5729E813" w14:textId="55F2C622" w:rsidR="00915E87" w:rsidRPr="00915E87" w:rsidRDefault="00915E87" w:rsidP="00915E87">
      <w:pPr>
        <w:pStyle w:val="TEXTONOTADEPRENSA"/>
        <w:pBdr>
          <w:bottom w:val="single" w:sz="6" w:space="1" w:color="auto"/>
        </w:pBdr>
      </w:pPr>
      <w:r w:rsidRPr="00915E87">
        <w:t>Las empresas dedicadas al cuidado de las personas mayores en la Comunidad Autónoma de Aragón no solo no están siendo apoyadas por el Gobierno de Aragón tras el durísimo año al que han tenido que hacer frente con sus propios recursos</w:t>
      </w:r>
      <w:r w:rsidR="009207F3">
        <w:t xml:space="preserve"> y</w:t>
      </w:r>
      <w:r w:rsidRPr="00915E87">
        <w:t xml:space="preserve"> sin ningún tipo de ayuda pública, sino que además ahora se enfrentan a una normativa que las puede dejar fuera de la contratación con la Administración. </w:t>
      </w:r>
    </w:p>
    <w:p w14:paraId="7DB901EE" w14:textId="3C93AA22" w:rsidR="00915E87" w:rsidRPr="00915E87" w:rsidRDefault="00915E87" w:rsidP="00915E87">
      <w:pPr>
        <w:pStyle w:val="TEXTONOTADEPRENSA"/>
        <w:pBdr>
          <w:bottom w:val="single" w:sz="6" w:space="1" w:color="auto"/>
        </w:pBdr>
      </w:pPr>
      <w:r w:rsidRPr="00915E87">
        <w:t>La Orden CDS/124/2021 que regula la acción concertada en materia de prestación de servicios sociales de Aragón excluye a las entidades privadas mercantiles. Las mismas empresas que generan riqueza, puesto</w:t>
      </w:r>
      <w:r w:rsidR="00341A39">
        <w:t>s de trabajo no deslocalizables y</w:t>
      </w:r>
      <w:r w:rsidRPr="00915E87">
        <w:t xml:space="preserve"> que llevan todo un año luchando por salvar vidas, ahora ven así recompensados todos sus esfuerzos</w:t>
      </w:r>
      <w:r w:rsidR="00341A39">
        <w:t>,</w:t>
      </w:r>
      <w:r w:rsidRPr="00915E87">
        <w:t xml:space="preserve"> dejándolas fuera de cualquier colaboración co</w:t>
      </w:r>
      <w:r w:rsidR="00341A39">
        <w:t>n la Administración autonómica.</w:t>
      </w:r>
    </w:p>
    <w:p w14:paraId="45B3A8D0" w14:textId="2A770B4C" w:rsidR="0010293D" w:rsidRDefault="00915E87" w:rsidP="00915E87">
      <w:pPr>
        <w:pStyle w:val="TEXTONOTADEPRENSA"/>
        <w:pBdr>
          <w:bottom w:val="single" w:sz="6" w:space="1" w:color="auto"/>
        </w:pBdr>
      </w:pPr>
      <w:r w:rsidRPr="00915E87">
        <w:t xml:space="preserve">Aragón es la única Comunidad </w:t>
      </w:r>
      <w:r>
        <w:t>A</w:t>
      </w:r>
      <w:r w:rsidRPr="00915E87">
        <w:t>utónoma de España que</w:t>
      </w:r>
      <w:r w:rsidR="00341A39">
        <w:t xml:space="preserve">, con esta Orden, </w:t>
      </w:r>
      <w:r w:rsidR="00341A39" w:rsidRPr="00915E87">
        <w:t>exclu</w:t>
      </w:r>
      <w:r w:rsidR="00341A39">
        <w:t>ye</w:t>
      </w:r>
      <w:r w:rsidR="00341A39" w:rsidRPr="00915E87">
        <w:t xml:space="preserve"> simplemente por su forma jurídica</w:t>
      </w:r>
      <w:r w:rsidRPr="00915E87">
        <w:t xml:space="preserve"> </w:t>
      </w:r>
      <w:r w:rsidR="00341A39">
        <w:t xml:space="preserve">a </w:t>
      </w:r>
      <w:r w:rsidRPr="00915E87">
        <w:t xml:space="preserve">las empresas del </w:t>
      </w:r>
      <w:r w:rsidR="00341A39">
        <w:t>s</w:t>
      </w:r>
      <w:r w:rsidRPr="00915E87">
        <w:t xml:space="preserve">ector que llevan toda la vida trabajando honestamente dando servicio a las personas mayores. En Aragón el 75,55% </w:t>
      </w:r>
      <w:r w:rsidR="00341A39">
        <w:t xml:space="preserve">de las empresas del sector </w:t>
      </w:r>
      <w:r w:rsidRPr="00915E87">
        <w:t xml:space="preserve">son PYMES y merecen que se respete su trabajo, sin embargo, lejos de ser apoyadas, la Consejería de Ciudadanía lleva años faltando a la verdad y negando hechos que el tiempo ha corroborado. El propio Tribunal de Justicia de Aragón en junio de 2020 declaró </w:t>
      </w:r>
      <w:r w:rsidRPr="00915E87">
        <w:lastRenderedPageBreak/>
        <w:t>la nulidad de pleno derecho de la Orden CDS/2042/2017, orden que ha sido sustituida por la publicada en el BOA del día 15 de marzo, CDS/124/2021, que se reitera en todos sus términos</w:t>
      </w:r>
      <w:r>
        <w:t xml:space="preserve"> y perpetú</w:t>
      </w:r>
      <w:r w:rsidRPr="00915E87">
        <w:t>a la discriminación a</w:t>
      </w:r>
      <w:r w:rsidR="000F514E">
        <w:t xml:space="preserve"> la que están siendo sometidas las</w:t>
      </w:r>
      <w:r w:rsidRPr="00915E87">
        <w:t xml:space="preserve"> empresas por el mero hecho de serlo. </w:t>
      </w:r>
    </w:p>
    <w:p w14:paraId="71319020" w14:textId="08A45F49" w:rsidR="00341A39" w:rsidRDefault="00341A39" w:rsidP="00915E87">
      <w:pPr>
        <w:pStyle w:val="TEXTONOTADEPRENSA"/>
        <w:pBdr>
          <w:bottom w:val="single" w:sz="6" w:space="1" w:color="auto"/>
        </w:pBdr>
      </w:pPr>
      <w:r>
        <w:t>En una Comunidad</w:t>
      </w:r>
      <w:r w:rsidR="00915E87" w:rsidRPr="00915E87">
        <w:t xml:space="preserve"> en la que la inversión privada, el mantenimiento y la creación de nuevos puestos de trabajo es en estos momentos vital para poder superar la crisis económica ocasionada por la pandemia, </w:t>
      </w:r>
      <w:r w:rsidR="009363A7">
        <w:t>el sector reclama</w:t>
      </w:r>
      <w:r w:rsidR="00915E87" w:rsidRPr="00915E87">
        <w:t xml:space="preserve"> que </w:t>
      </w:r>
      <w:r w:rsidR="009363A7">
        <w:t>las</w:t>
      </w:r>
      <w:r w:rsidR="00915E87" w:rsidRPr="00915E87">
        <w:t xml:space="preserve"> empresas sean tratadas con la deferencia que se merecen</w:t>
      </w:r>
      <w:r>
        <w:t>. E</w:t>
      </w:r>
      <w:r w:rsidR="00915E87" w:rsidRPr="00915E87">
        <w:t xml:space="preserve">ntre todos </w:t>
      </w:r>
      <w:r w:rsidR="009363A7">
        <w:t>se está remando</w:t>
      </w:r>
      <w:r w:rsidR="00915E87" w:rsidRPr="00915E87">
        <w:t xml:space="preserve"> en una misma dirección</w:t>
      </w:r>
      <w:r>
        <w:t>,</w:t>
      </w:r>
      <w:r w:rsidR="00915E87" w:rsidRPr="00915E87">
        <w:t xml:space="preserve"> facilitando que las personas mayores dispongan de los servicios que necesitan ahí donde viven, en su ciudad, en su barrio, en su pueblo.</w:t>
      </w:r>
    </w:p>
    <w:p w14:paraId="1DEC6485" w14:textId="3E497B8D" w:rsidR="00915E87" w:rsidRPr="00915E87" w:rsidRDefault="00915E87" w:rsidP="00915E87">
      <w:pPr>
        <w:pStyle w:val="TEXTONOTADEPRENSA"/>
        <w:pBdr>
          <w:bottom w:val="single" w:sz="6" w:space="1" w:color="auto"/>
        </w:pBdr>
      </w:pPr>
      <w:r w:rsidRPr="00915E87">
        <w:t xml:space="preserve">Por </w:t>
      </w:r>
      <w:r w:rsidR="009363A7">
        <w:t xml:space="preserve">su parte, </w:t>
      </w:r>
      <w:r w:rsidRPr="00915E87">
        <w:t xml:space="preserve">ARADE </w:t>
      </w:r>
      <w:r w:rsidR="009363A7">
        <w:t>va a dar un paso más y</w:t>
      </w:r>
      <w:r w:rsidR="00180DA4">
        <w:t>, con el apoyo de CEPYME Aragón,</w:t>
      </w:r>
      <w:r w:rsidR="009363A7">
        <w:t xml:space="preserve"> </w:t>
      </w:r>
      <w:r w:rsidRPr="00915E87">
        <w:t xml:space="preserve">va a presentar un recurso ante el TSJA en contra de esta nueva orden que </w:t>
      </w:r>
      <w:r w:rsidR="00341A39">
        <w:t>vuelve a suponer un</w:t>
      </w:r>
      <w:r w:rsidRPr="00915E87">
        <w:t xml:space="preserve"> varapalo para sus empresas.</w:t>
      </w:r>
    </w:p>
    <w:p w14:paraId="2C2588C8" w14:textId="77777777" w:rsidR="008709AD" w:rsidRPr="00FD0D4E" w:rsidRDefault="008709AD" w:rsidP="008709AD">
      <w:pPr>
        <w:pStyle w:val="TEXTONOTADEPRENSA"/>
        <w:pBdr>
          <w:bottom w:val="single" w:sz="6" w:space="1" w:color="auto"/>
        </w:pBdr>
      </w:pPr>
    </w:p>
    <w:p w14:paraId="27531E82" w14:textId="77777777" w:rsidR="008709AD" w:rsidRPr="00FD0D4E" w:rsidRDefault="008709AD" w:rsidP="008709AD">
      <w:pPr>
        <w:pStyle w:val="TEXTONOTADEPRENSA"/>
      </w:pPr>
      <w:r w:rsidRPr="00FD0D4E">
        <w:t>Contacto:</w:t>
      </w:r>
    </w:p>
    <w:p w14:paraId="5DC85530" w14:textId="21A63421" w:rsidR="00817ACF" w:rsidRPr="00FD0D4E" w:rsidRDefault="008709AD" w:rsidP="009363A7">
      <w:pPr>
        <w:pStyle w:val="CONTACTO"/>
      </w:pPr>
      <w:r w:rsidRPr="00FD0D4E">
        <w:t xml:space="preserve">Elena Hidalgo  </w:t>
      </w:r>
      <w:r w:rsidRPr="00FD0D4E">
        <w:br/>
        <w:t>Dpto. de Comunicación</w:t>
      </w:r>
      <w:r w:rsidRPr="00FD0D4E">
        <w:br/>
      </w:r>
      <w:hyperlink r:id="rId8" w:history="1">
        <w:r w:rsidRPr="00FD0D4E">
          <w:t>ehidalgo@cepymearagon.es</w:t>
        </w:r>
      </w:hyperlink>
      <w:r w:rsidRPr="00FD0D4E">
        <w:br/>
        <w:t>976 76 60 60</w:t>
      </w:r>
      <w:r w:rsidRPr="00FD0D4E">
        <w:br/>
        <w:t>667 65 23 24</w:t>
      </w:r>
    </w:p>
    <w:sectPr w:rsidR="00817ACF" w:rsidRPr="00FD0D4E" w:rsidSect="009363A7">
      <w:headerReference w:type="default" r:id="rId9"/>
      <w:pgSz w:w="12240" w:h="15840"/>
      <w:pgMar w:top="2127" w:right="1440" w:bottom="983"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7609" w14:textId="77777777" w:rsidR="004839D1" w:rsidRDefault="004839D1">
      <w:r>
        <w:separator/>
      </w:r>
    </w:p>
  </w:endnote>
  <w:endnote w:type="continuationSeparator" w:id="0">
    <w:p w14:paraId="559AEF8D" w14:textId="77777777" w:rsidR="004839D1" w:rsidRDefault="0048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280E2" w14:textId="77777777" w:rsidR="004839D1" w:rsidRDefault="004839D1">
      <w:r>
        <w:separator/>
      </w:r>
    </w:p>
  </w:footnote>
  <w:footnote w:type="continuationSeparator" w:id="0">
    <w:p w14:paraId="0ABF2D97" w14:textId="77777777" w:rsidR="004839D1" w:rsidRDefault="00483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F76B" w14:textId="3CC26250" w:rsidR="005F7EBC" w:rsidRDefault="00B4409F" w:rsidP="00874247">
    <w:pPr>
      <w:pStyle w:val="Encabezado"/>
      <w:jc w:val="right"/>
    </w:pPr>
    <w:r>
      <w:rPr>
        <w:noProof/>
        <w:lang w:val="es-ES" w:eastAsia="es-ES"/>
      </w:rPr>
      <w:drawing>
        <wp:anchor distT="0" distB="0" distL="114300" distR="114300" simplePos="0" relativeHeight="251660288" behindDoc="0" locked="0" layoutInCell="1" allowOverlap="1" wp14:anchorId="52BBA63A" wp14:editId="44C5DC0B">
          <wp:simplePos x="0" y="0"/>
          <wp:positionH relativeFrom="column">
            <wp:posOffset>1685925</wp:posOffset>
          </wp:positionH>
          <wp:positionV relativeFrom="paragraph">
            <wp:posOffset>123825</wp:posOffset>
          </wp:positionV>
          <wp:extent cx="2085975" cy="467995"/>
          <wp:effectExtent l="0" t="0" r="9525"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PYMEAragon_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467995"/>
                  </a:xfrm>
                  <a:prstGeom prst="rect">
                    <a:avLst/>
                  </a:prstGeom>
                </pic:spPr>
              </pic:pic>
            </a:graphicData>
          </a:graphic>
        </wp:anchor>
      </w:drawing>
    </w:r>
    <w:r>
      <w:rPr>
        <w:noProof/>
        <w:lang w:val="es-ES" w:eastAsia="es-ES"/>
      </w:rPr>
      <w:drawing>
        <wp:anchor distT="0" distB="0" distL="114300" distR="114300" simplePos="0" relativeHeight="251659264" behindDoc="1" locked="0" layoutInCell="1" allowOverlap="1" wp14:anchorId="38EFA5FD" wp14:editId="3E6A7E7D">
          <wp:simplePos x="0" y="0"/>
          <wp:positionH relativeFrom="column">
            <wp:posOffset>223520</wp:posOffset>
          </wp:positionH>
          <wp:positionV relativeFrom="paragraph">
            <wp:posOffset>0</wp:posOffset>
          </wp:positionV>
          <wp:extent cx="842010" cy="717550"/>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42010" cy="71755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0" locked="0" layoutInCell="1" allowOverlap="1" wp14:anchorId="63205C3A" wp14:editId="084279AC">
          <wp:simplePos x="0" y="0"/>
          <wp:positionH relativeFrom="column">
            <wp:posOffset>4191000</wp:posOffset>
          </wp:positionH>
          <wp:positionV relativeFrom="paragraph">
            <wp:posOffset>85090</wp:posOffset>
          </wp:positionV>
          <wp:extent cx="1710690" cy="631825"/>
          <wp:effectExtent l="0" t="0" r="3810" b="0"/>
          <wp:wrapSquare wrapText="bothSides"/>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3" cstate="print">
                    <a:extLst>
                      <a:ext uri="{28A0092B-C50C-407E-A947-70E740481C1C}">
                        <a14:useLocalDpi xmlns:a14="http://schemas.microsoft.com/office/drawing/2010/main" val="0"/>
                      </a:ext>
                    </a:extLst>
                  </a:blip>
                  <a:srcRect t="22266"/>
                  <a:stretch/>
                </pic:blipFill>
                <pic:spPr bwMode="auto">
                  <a:xfrm>
                    <a:off x="0" y="0"/>
                    <a:ext cx="1710690" cy="631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09AD">
      <w:rPr>
        <w:noProof/>
        <w:lang w:val="es-ES" w:eastAsia="es-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EEF"/>
    <w:multiLevelType w:val="hybridMultilevel"/>
    <w:tmpl w:val="ACB2BDCE"/>
    <w:numStyleLink w:val="Vietas"/>
  </w:abstractNum>
  <w:abstractNum w:abstractNumId="1" w15:restartNumberingAfterBreak="0">
    <w:nsid w:val="36CE3DBA"/>
    <w:multiLevelType w:val="hybridMultilevel"/>
    <w:tmpl w:val="ACB2BDCE"/>
    <w:styleLink w:val="Vietas"/>
    <w:lvl w:ilvl="0" w:tplc="2D267AAC">
      <w:start w:val="1"/>
      <w:numFmt w:val="bullet"/>
      <w:lvlText w:val="•"/>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B002E8BA">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AE26523C">
      <w:start w:val="1"/>
      <w:numFmt w:val="bullet"/>
      <w:lvlText w:val="•"/>
      <w:lvlJc w:val="left"/>
      <w:pPr>
        <w:ind w:left="14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768CFD8">
      <w:start w:val="1"/>
      <w:numFmt w:val="bullet"/>
      <w:lvlText w:val="•"/>
      <w:lvlJc w:val="left"/>
      <w:pPr>
        <w:ind w:left="20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FBED948">
      <w:start w:val="1"/>
      <w:numFmt w:val="bullet"/>
      <w:lvlText w:val="•"/>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52166DCE">
      <w:start w:val="1"/>
      <w:numFmt w:val="bullet"/>
      <w:lvlText w:val="•"/>
      <w:lvlJc w:val="left"/>
      <w:pPr>
        <w:ind w:left="3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65AE676">
      <w:start w:val="1"/>
      <w:numFmt w:val="bullet"/>
      <w:lvlText w:val="•"/>
      <w:lvlJc w:val="left"/>
      <w:pPr>
        <w:ind w:left="38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E75AECC6">
      <w:start w:val="1"/>
      <w:numFmt w:val="bullet"/>
      <w:lvlText w:val="•"/>
      <w:lvlJc w:val="left"/>
      <w:pPr>
        <w:ind w:left="44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C100F06">
      <w:start w:val="1"/>
      <w:numFmt w:val="bullet"/>
      <w:lvlText w:val="•"/>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EED19E6"/>
    <w:multiLevelType w:val="hybridMultilevel"/>
    <w:tmpl w:val="2DF21610"/>
    <w:lvl w:ilvl="0" w:tplc="3E8A9882">
      <w:numFmt w:val="bullet"/>
      <w:lvlText w:val=""/>
      <w:lvlJc w:val="left"/>
      <w:pPr>
        <w:ind w:left="1004" w:hanging="360"/>
      </w:pPr>
      <w:rPr>
        <w:rFonts w:ascii="Symbol" w:eastAsia="Calibri" w:hAnsi="Symbo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A7"/>
    <w:rsid w:val="00024612"/>
    <w:rsid w:val="000A1D2C"/>
    <w:rsid w:val="000B7597"/>
    <w:rsid w:val="000F514E"/>
    <w:rsid w:val="0010293D"/>
    <w:rsid w:val="0012441D"/>
    <w:rsid w:val="00140F2F"/>
    <w:rsid w:val="00142FA4"/>
    <w:rsid w:val="00172BAF"/>
    <w:rsid w:val="00180DA4"/>
    <w:rsid w:val="001971B9"/>
    <w:rsid w:val="001E66C6"/>
    <w:rsid w:val="002009A7"/>
    <w:rsid w:val="00290E57"/>
    <w:rsid w:val="00295C42"/>
    <w:rsid w:val="002C12D4"/>
    <w:rsid w:val="00316607"/>
    <w:rsid w:val="00341A39"/>
    <w:rsid w:val="00374C3F"/>
    <w:rsid w:val="00380369"/>
    <w:rsid w:val="003F47D5"/>
    <w:rsid w:val="004839D1"/>
    <w:rsid w:val="005C192F"/>
    <w:rsid w:val="005C3A91"/>
    <w:rsid w:val="005F7EBC"/>
    <w:rsid w:val="00623387"/>
    <w:rsid w:val="0062566E"/>
    <w:rsid w:val="00635FA6"/>
    <w:rsid w:val="006C7C02"/>
    <w:rsid w:val="006D1D52"/>
    <w:rsid w:val="00734F85"/>
    <w:rsid w:val="007A1290"/>
    <w:rsid w:val="00800785"/>
    <w:rsid w:val="00817ACF"/>
    <w:rsid w:val="00836E40"/>
    <w:rsid w:val="008709AD"/>
    <w:rsid w:val="00873CC5"/>
    <w:rsid w:val="00874247"/>
    <w:rsid w:val="008C6CA3"/>
    <w:rsid w:val="008D2649"/>
    <w:rsid w:val="008D62D1"/>
    <w:rsid w:val="00915E87"/>
    <w:rsid w:val="009207F3"/>
    <w:rsid w:val="009363A7"/>
    <w:rsid w:val="00A65F9C"/>
    <w:rsid w:val="00A661CE"/>
    <w:rsid w:val="00AA3E89"/>
    <w:rsid w:val="00B34BD4"/>
    <w:rsid w:val="00B4409F"/>
    <w:rsid w:val="00B857D4"/>
    <w:rsid w:val="00BA3D39"/>
    <w:rsid w:val="00BB6810"/>
    <w:rsid w:val="00C06903"/>
    <w:rsid w:val="00C84453"/>
    <w:rsid w:val="00D251A8"/>
    <w:rsid w:val="00D37FE7"/>
    <w:rsid w:val="00D47484"/>
    <w:rsid w:val="00D6592F"/>
    <w:rsid w:val="00DA0065"/>
    <w:rsid w:val="00E02974"/>
    <w:rsid w:val="00E8437D"/>
    <w:rsid w:val="00EB6E60"/>
    <w:rsid w:val="00F342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830A"/>
  <w15:docId w15:val="{12F3B9BB-DB8D-D24F-AD48-0E1CCEAF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rPr>
      <w:rFonts w:ascii="Calibri" w:eastAsia="Calibri" w:hAnsi="Calibri" w:cs="Calibri"/>
      <w:color w:val="000000"/>
      <w:sz w:val="24"/>
      <w:szCs w:val="24"/>
      <w:u w:color="000000"/>
    </w:rPr>
  </w:style>
  <w:style w:type="character" w:customStyle="1" w:styleId="Ninguno">
    <w:name w:val="Ninguno"/>
  </w:style>
  <w:style w:type="character" w:styleId="nfasis">
    <w:name w:val="Emphasis"/>
    <w:basedOn w:val="Ninguno"/>
    <w:rPr>
      <w:rFonts w:ascii="Calibri" w:eastAsia="Calibri" w:hAnsi="Calibri" w:cs="Calibri"/>
      <w:i/>
      <w:iCs/>
    </w:rPr>
  </w:style>
  <w:style w:type="numbering" w:customStyle="1" w:styleId="Vietas">
    <w:name w:val="Viñetas"/>
    <w:pPr>
      <w:numPr>
        <w:numId w:val="1"/>
      </w:numPr>
    </w:pPr>
  </w:style>
  <w:style w:type="paragraph" w:styleId="Encabezado">
    <w:name w:val="header"/>
    <w:basedOn w:val="Normal"/>
    <w:link w:val="EncabezadoCar"/>
    <w:uiPriority w:val="99"/>
    <w:unhideWhenUsed/>
    <w:rsid w:val="005F7EBC"/>
    <w:pPr>
      <w:tabs>
        <w:tab w:val="center" w:pos="4252"/>
        <w:tab w:val="right" w:pos="8504"/>
      </w:tabs>
    </w:pPr>
  </w:style>
  <w:style w:type="character" w:customStyle="1" w:styleId="EncabezadoCar">
    <w:name w:val="Encabezado Car"/>
    <w:basedOn w:val="Fuentedeprrafopredeter"/>
    <w:link w:val="Encabezado"/>
    <w:uiPriority w:val="99"/>
    <w:rsid w:val="005F7EBC"/>
    <w:rPr>
      <w:sz w:val="24"/>
      <w:szCs w:val="24"/>
      <w:lang w:val="en-US" w:eastAsia="en-US"/>
    </w:rPr>
  </w:style>
  <w:style w:type="paragraph" w:styleId="Piedepgina">
    <w:name w:val="footer"/>
    <w:basedOn w:val="Normal"/>
    <w:link w:val="PiedepginaCar"/>
    <w:uiPriority w:val="99"/>
    <w:unhideWhenUsed/>
    <w:rsid w:val="005F7EBC"/>
    <w:pPr>
      <w:tabs>
        <w:tab w:val="center" w:pos="4252"/>
        <w:tab w:val="right" w:pos="8504"/>
      </w:tabs>
    </w:pPr>
  </w:style>
  <w:style w:type="character" w:customStyle="1" w:styleId="PiedepginaCar">
    <w:name w:val="Pie de página Car"/>
    <w:basedOn w:val="Fuentedeprrafopredeter"/>
    <w:link w:val="Piedepgina"/>
    <w:uiPriority w:val="99"/>
    <w:rsid w:val="005F7EBC"/>
    <w:rPr>
      <w:sz w:val="24"/>
      <w:szCs w:val="24"/>
      <w:lang w:val="en-US" w:eastAsia="en-US"/>
    </w:rPr>
  </w:style>
  <w:style w:type="paragraph" w:customStyle="1" w:styleId="NOTADEPRENSA">
    <w:name w:val="NOTA DE PRENSA"/>
    <w:basedOn w:val="Sinespaciado"/>
    <w:link w:val="NOTADEPRENSACar"/>
    <w:qFormat/>
    <w:rsid w:val="008709AD"/>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Arial" w:eastAsia="Calibri" w:hAnsi="Arial" w:cs="Arial"/>
      <w:sz w:val="26"/>
      <w:bdr w:val="none" w:sz="0" w:space="0" w:color="auto"/>
      <w:vertAlign w:val="subscript"/>
      <w:lang w:val="es-ES"/>
    </w:rPr>
  </w:style>
  <w:style w:type="character" w:customStyle="1" w:styleId="NOTADEPRENSACar">
    <w:name w:val="NOTA DE PRENSA Car"/>
    <w:basedOn w:val="Fuentedeprrafopredeter"/>
    <w:link w:val="NOTADEPRENSA"/>
    <w:rsid w:val="008709AD"/>
    <w:rPr>
      <w:rFonts w:ascii="Arial" w:eastAsia="Calibri" w:hAnsi="Arial" w:cs="Arial"/>
      <w:sz w:val="26"/>
      <w:szCs w:val="24"/>
      <w:bdr w:val="none" w:sz="0" w:space="0" w:color="auto"/>
      <w:vertAlign w:val="subscript"/>
      <w:lang w:eastAsia="en-US"/>
    </w:rPr>
  </w:style>
  <w:style w:type="paragraph" w:styleId="Sinespaciado">
    <w:name w:val="No Spacing"/>
    <w:uiPriority w:val="1"/>
    <w:qFormat/>
    <w:rsid w:val="008709AD"/>
    <w:rPr>
      <w:sz w:val="24"/>
      <w:szCs w:val="24"/>
      <w:lang w:val="en-US" w:eastAsia="en-US"/>
    </w:rPr>
  </w:style>
  <w:style w:type="paragraph" w:customStyle="1" w:styleId="TITULAR">
    <w:name w:val="TITULAR"/>
    <w:basedOn w:val="Normal"/>
    <w:link w:val="TITULARCar"/>
    <w:qFormat/>
    <w:rsid w:val="008709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jc w:val="center"/>
    </w:pPr>
    <w:rPr>
      <w:rFonts w:ascii="Arial" w:eastAsia="Calibri" w:hAnsi="Arial" w:cs="Arial"/>
      <w:b/>
      <w:sz w:val="36"/>
      <w:szCs w:val="36"/>
      <w:bdr w:val="none" w:sz="0" w:space="0" w:color="auto"/>
      <w:lang w:val="es-ES"/>
    </w:rPr>
  </w:style>
  <w:style w:type="paragraph" w:customStyle="1" w:styleId="TEXTONOTADEPRENSA">
    <w:name w:val="TEXTO NOTA DE PRENSA"/>
    <w:basedOn w:val="Normal"/>
    <w:link w:val="TEXTONOTADEPRENSACar"/>
    <w:qFormat/>
    <w:rsid w:val="008709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jc w:val="both"/>
    </w:pPr>
    <w:rPr>
      <w:rFonts w:ascii="Arial" w:eastAsia="Calibri" w:hAnsi="Arial" w:cs="Arial"/>
      <w:sz w:val="22"/>
      <w:szCs w:val="22"/>
      <w:bdr w:val="none" w:sz="0" w:space="0" w:color="auto"/>
      <w:lang w:val="es-ES"/>
    </w:rPr>
  </w:style>
  <w:style w:type="character" w:customStyle="1" w:styleId="TITULARCar">
    <w:name w:val="TITULAR Car"/>
    <w:basedOn w:val="Fuentedeprrafopredeter"/>
    <w:link w:val="TITULAR"/>
    <w:rsid w:val="008709AD"/>
    <w:rPr>
      <w:rFonts w:ascii="Arial" w:eastAsia="Calibri" w:hAnsi="Arial" w:cs="Arial"/>
      <w:b/>
      <w:sz w:val="36"/>
      <w:szCs w:val="36"/>
      <w:bdr w:val="none" w:sz="0" w:space="0" w:color="auto"/>
      <w:lang w:eastAsia="en-US"/>
    </w:rPr>
  </w:style>
  <w:style w:type="paragraph" w:customStyle="1" w:styleId="CONTACTO">
    <w:name w:val="CONTACTO"/>
    <w:basedOn w:val="Normal"/>
    <w:link w:val="CONTACTOCar"/>
    <w:qFormat/>
    <w:rsid w:val="008709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pPr>
    <w:rPr>
      <w:rFonts w:ascii="Arial" w:eastAsia="Calibri" w:hAnsi="Arial" w:cs="Arial"/>
      <w:sz w:val="22"/>
      <w:szCs w:val="22"/>
      <w:bdr w:val="none" w:sz="0" w:space="0" w:color="auto"/>
      <w:lang w:val="es-ES"/>
    </w:rPr>
  </w:style>
  <w:style w:type="character" w:customStyle="1" w:styleId="TEXTONOTADEPRENSACar">
    <w:name w:val="TEXTO NOTA DE PRENSA Car"/>
    <w:basedOn w:val="Fuentedeprrafopredeter"/>
    <w:link w:val="TEXTONOTADEPRENSA"/>
    <w:rsid w:val="008709AD"/>
    <w:rPr>
      <w:rFonts w:ascii="Arial" w:eastAsia="Calibri" w:hAnsi="Arial" w:cs="Arial"/>
      <w:sz w:val="22"/>
      <w:szCs w:val="22"/>
      <w:bdr w:val="none" w:sz="0" w:space="0" w:color="auto"/>
      <w:lang w:eastAsia="en-US"/>
    </w:rPr>
  </w:style>
  <w:style w:type="character" w:customStyle="1" w:styleId="CONTACTOCar">
    <w:name w:val="CONTACTO Car"/>
    <w:basedOn w:val="Fuentedeprrafopredeter"/>
    <w:link w:val="CONTACTO"/>
    <w:rsid w:val="008709AD"/>
    <w:rPr>
      <w:rFonts w:ascii="Arial" w:eastAsia="Calibri" w:hAnsi="Arial" w:cs="Arial"/>
      <w:sz w:val="22"/>
      <w:szCs w:val="22"/>
      <w:bdr w:val="none" w:sz="0" w:space="0" w:color="auto"/>
      <w:lang w:eastAsia="en-US"/>
    </w:rPr>
  </w:style>
  <w:style w:type="paragraph" w:customStyle="1" w:styleId="SUBTITULO">
    <w:name w:val="SUBTITULO"/>
    <w:basedOn w:val="TITULAR"/>
    <w:link w:val="SUBTITULOCar"/>
    <w:qFormat/>
    <w:rsid w:val="008709AD"/>
    <w:rPr>
      <w:sz w:val="24"/>
      <w:szCs w:val="24"/>
    </w:rPr>
  </w:style>
  <w:style w:type="character" w:customStyle="1" w:styleId="SUBTITULOCar">
    <w:name w:val="SUBTITULO Car"/>
    <w:basedOn w:val="TITULARCar"/>
    <w:link w:val="SUBTITULO"/>
    <w:rsid w:val="008709AD"/>
    <w:rPr>
      <w:rFonts w:ascii="Arial" w:eastAsia="Calibri" w:hAnsi="Arial" w:cs="Arial"/>
      <w:b/>
      <w:sz w:val="24"/>
      <w:szCs w:val="24"/>
      <w:bdr w:val="none" w:sz="0" w:space="0" w:color="auto"/>
      <w:lang w:eastAsia="en-US"/>
    </w:rPr>
  </w:style>
  <w:style w:type="paragraph" w:styleId="Textodeglobo">
    <w:name w:val="Balloon Text"/>
    <w:basedOn w:val="Normal"/>
    <w:link w:val="TextodegloboCar"/>
    <w:uiPriority w:val="99"/>
    <w:semiHidden/>
    <w:unhideWhenUsed/>
    <w:rsid w:val="00180D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DA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idalgo@cepymearago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29EB-7ADF-411B-AD40-DC36A557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NOTA DE PRENSA ARADE_RESIDENCIA PIRINEOS</vt:lpstr>
    </vt:vector>
  </TitlesOfParts>
  <Manager>JOSE LUIS LOPEZ CARRERAS</Manager>
  <Company>RESIDENCIA PIRINEOS</Company>
  <LinksUpToDate>false</LinksUpToDate>
  <CharactersWithSpaces>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ARADE_RESIDENCIA PIRINEOS</dc:title>
  <dc:subject>MODULO EXTERIOR</dc:subject>
  <dc:creator>JOSE LUIS LOPEZ CARRERAS</dc:creator>
  <cp:keywords/>
  <dc:description/>
  <cp:lastModifiedBy>Elena Hidalgo</cp:lastModifiedBy>
  <cp:revision>11</cp:revision>
  <cp:lastPrinted>2021-03-16T09:12:00Z</cp:lastPrinted>
  <dcterms:created xsi:type="dcterms:W3CDTF">2021-03-16T09:04:00Z</dcterms:created>
  <dcterms:modified xsi:type="dcterms:W3CDTF">2021-03-16T11:07:00Z</dcterms:modified>
  <cp:category>NOTA DE PRENSA</cp:category>
</cp:coreProperties>
</file>